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2" w:rsidRDefault="00D16F52" w:rsidP="00D16F52">
      <w:pPr>
        <w:shd w:val="clear" w:color="auto" w:fill="FFFFFF"/>
        <w:ind w:right="91"/>
        <w:jc w:val="right"/>
      </w:pPr>
      <w:r>
        <w:rPr>
          <w:rFonts w:ascii="Arial" w:eastAsia="Times New Roman" w:hAnsi="Arial"/>
          <w:i/>
          <w:iCs/>
          <w:spacing w:val="-11"/>
          <w:sz w:val="22"/>
          <w:szCs w:val="22"/>
        </w:rPr>
        <w:t>Приложение</w:t>
      </w:r>
    </w:p>
    <w:p w:rsidR="00D16F52" w:rsidRDefault="00D16F52" w:rsidP="00D16F52">
      <w:pPr>
        <w:shd w:val="clear" w:color="auto" w:fill="FFFFFF"/>
        <w:ind w:right="91"/>
        <w:jc w:val="right"/>
      </w:pPr>
    </w:p>
    <w:p w:rsidR="009E578C" w:rsidRDefault="00D16F52" w:rsidP="00D16F52">
      <w:pPr>
        <w:shd w:val="clear" w:color="auto" w:fill="FFFFFF"/>
        <w:spacing w:line="360" w:lineRule="auto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Информация о величине резервируемой максимальной мощности, определяемой в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соответствии с Правилами недискриминационного доступа к услугам по передаче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электрической энергии и оказания этих услуг, утверждёнными Постановлением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Правительства Российской Федерации от 27 декабря 2004г. №861, в разбивке по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уровням напряжения</w:t>
      </w:r>
    </w:p>
    <w:p w:rsidR="009E578C" w:rsidRDefault="009E578C" w:rsidP="00D16F52">
      <w:pPr>
        <w:spacing w:line="360" w:lineRule="auto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page" w:horzAnchor="margin" w:tblpY="4096"/>
        <w:tblW w:w="105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6"/>
        <w:gridCol w:w="2176"/>
        <w:gridCol w:w="1765"/>
        <w:gridCol w:w="1858"/>
        <w:gridCol w:w="1480"/>
        <w:gridCol w:w="1618"/>
      </w:tblGrid>
      <w:tr w:rsidR="00D16F52" w:rsidTr="00D16F52">
        <w:trPr>
          <w:trHeight w:hRule="exact" w:val="1717"/>
        </w:trPr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Отчётный период</w:t>
            </w:r>
          </w:p>
        </w:tc>
        <w:tc>
          <w:tcPr>
            <w:tcW w:w="8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Усреднённая за квартал величина резервируемой максимальной мощности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суммарно по всем потребителям электрической энергии, в отношении которых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 величина определяется и в отношении энергопринимающих устройств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которых такой сетевой организацией заключен договор, с разбивкой по каждому</w:t>
            </w:r>
          </w:p>
          <w:p w:rsidR="00D16F52" w:rsidRDefault="00D16F52" w:rsidP="00D16F52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уровню напряжения, кВт</w:t>
            </w:r>
          </w:p>
        </w:tc>
      </w:tr>
      <w:tr w:rsidR="00D16F52" w:rsidTr="00022564">
        <w:trPr>
          <w:trHeight w:hRule="exact" w:val="442"/>
        </w:trPr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jc w:val="center"/>
            </w:pPr>
          </w:p>
          <w:p w:rsidR="00D16F52" w:rsidRDefault="00D16F52" w:rsidP="00D16F52">
            <w:pPr>
              <w:jc w:val="center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СН-1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D16F52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СН-2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52" w:rsidRPr="00022564" w:rsidRDefault="00022564" w:rsidP="000225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2564">
              <w:rPr>
                <w:rFonts w:eastAsia="Times New Roman"/>
                <w:b/>
                <w:bCs/>
                <w:sz w:val="24"/>
                <w:szCs w:val="24"/>
              </w:rPr>
              <w:t>НН</w:t>
            </w:r>
          </w:p>
        </w:tc>
      </w:tr>
      <w:tr w:rsidR="00D16F52" w:rsidTr="00D16F52">
        <w:trPr>
          <w:trHeight w:hRule="exact" w:val="684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квартал 2017 года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087E5F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493 </w:t>
            </w:r>
            <w:bookmarkStart w:id="0" w:name="_GoBack"/>
            <w:bookmarkEnd w:id="0"/>
            <w:r>
              <w:rPr>
                <w:sz w:val="24"/>
                <w:szCs w:val="24"/>
              </w:rPr>
              <w:t>288,67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087E5F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149 135,42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333 628,64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52" w:rsidRDefault="00D16F52" w:rsidP="00D16F5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10 524,61</w:t>
            </w:r>
          </w:p>
        </w:tc>
      </w:tr>
    </w:tbl>
    <w:p w:rsidR="00D16F52" w:rsidRDefault="00D16F52"/>
    <w:sectPr w:rsidR="00D16F52" w:rsidSect="00D16F52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2"/>
    <w:rsid w:val="00022564"/>
    <w:rsid w:val="00087E5F"/>
    <w:rsid w:val="009E578C"/>
    <w:rsid w:val="00D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9E04A6-DE5C-40B3-A563-43643B5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Ахметгалиев Ленар Фаритович</dc:creator>
  <cp:keywords/>
  <dc:description/>
  <cp:lastModifiedBy>Ахметгалиев Ленар Фаритович</cp:lastModifiedBy>
  <cp:revision>6</cp:revision>
  <dcterms:created xsi:type="dcterms:W3CDTF">2017-07-28T11:20:00Z</dcterms:created>
  <dcterms:modified xsi:type="dcterms:W3CDTF">2017-07-31T14:36:00Z</dcterms:modified>
</cp:coreProperties>
</file>