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57AA5">
      <w:pPr>
        <w:pStyle w:val="1"/>
      </w:pPr>
      <w:r>
        <w:fldChar w:fldCharType="begin"/>
      </w:r>
      <w:r>
        <w:instrText>HYPERLINK "garantF1://79568.0"</w:instrText>
      </w:r>
      <w:r>
        <w:fldChar w:fldCharType="separate"/>
      </w:r>
      <w:r>
        <w:rPr>
          <w:rStyle w:val="a4"/>
          <w:b w:val="0"/>
          <w:bCs w:val="0"/>
        </w:rPr>
        <w:t>Положение</w:t>
      </w:r>
      <w:r>
        <w:rPr>
          <w:rStyle w:val="a4"/>
          <w:b w:val="0"/>
          <w:bCs w:val="0"/>
        </w:rPr>
        <w:br/>
        <w:t>о порядке проведения ревизии и маркирования специальными знаками визуального контроля средств учета электрической энергии</w:t>
      </w:r>
      <w:r>
        <w:rPr>
          <w:rStyle w:val="a4"/>
          <w:b w:val="0"/>
          <w:bCs w:val="0"/>
        </w:rPr>
        <w:br/>
        <w:t>(утв. Госстандартом РФ, Минтопэнерго РФ 3, 16 октября 1998 г.)</w:t>
      </w:r>
      <w:r>
        <w:fldChar w:fldCharType="end"/>
      </w:r>
    </w:p>
    <w:p w:rsidR="00000000" w:rsidRDefault="00D57AA5"/>
    <w:p w:rsidR="00000000" w:rsidRDefault="00D57AA5">
      <w:pPr>
        <w:pStyle w:val="1"/>
      </w:pPr>
      <w:bookmarkStart w:id="1" w:name="sub_100"/>
      <w:r>
        <w:t>I. Общие положения</w:t>
      </w:r>
    </w:p>
    <w:bookmarkEnd w:id="1"/>
    <w:p w:rsidR="00000000" w:rsidRDefault="00D57AA5"/>
    <w:p w:rsidR="00000000" w:rsidRDefault="00D57AA5">
      <w:bookmarkStart w:id="2" w:name="sub_101"/>
      <w:r>
        <w:t xml:space="preserve">1.1. Настоящее Положение о порядке проведения ревизии и маркирования специальными знаками визуального контроля средств учета электрической энергии (далее именуется "Положение"), разработано во исполнение </w:t>
      </w:r>
      <w:hyperlink r:id="rId5" w:history="1">
        <w:r>
          <w:rPr>
            <w:rStyle w:val="a4"/>
          </w:rPr>
          <w:t>постано</w:t>
        </w:r>
        <w:r>
          <w:rPr>
            <w:rStyle w:val="a4"/>
          </w:rPr>
          <w:t>вления</w:t>
        </w:r>
      </w:hyperlink>
      <w:r>
        <w:t xml:space="preserve"> Правительства Российской Федерации от 27 декабря 1997 года N 1619 "О ревизии средств учета электрической энергии и маркировании их специальными знаками визуального контроля"</w:t>
      </w:r>
      <w:hyperlink w:anchor="sub_1111" w:history="1">
        <w:r>
          <w:rPr>
            <w:rStyle w:val="a4"/>
          </w:rPr>
          <w:t>*1.</w:t>
        </w:r>
      </w:hyperlink>
    </w:p>
    <w:p w:rsidR="00000000" w:rsidRDefault="00D57AA5">
      <w:bookmarkStart w:id="3" w:name="sub_102"/>
      <w:bookmarkEnd w:id="2"/>
      <w:r>
        <w:t>1.2. Средства учета электриче</w:t>
      </w:r>
      <w:r>
        <w:t>ской энергии - совокупность устройств, обеспечивающих измерение и учет электроэнергии (измерительные трансформаторы тока и напряжения, счетчики электрической энергии, телеметрические датчики, информационно-измерительные системы и их линии связи) и соединен</w:t>
      </w:r>
      <w:r>
        <w:t>ных между собой по установленной схеме</w:t>
      </w:r>
      <w:hyperlink w:anchor="sub_1112" w:history="1">
        <w:r>
          <w:rPr>
            <w:rStyle w:val="a4"/>
          </w:rPr>
          <w:t>*2.</w:t>
        </w:r>
      </w:hyperlink>
    </w:p>
    <w:bookmarkEnd w:id="3"/>
    <w:p w:rsidR="00000000" w:rsidRDefault="00D57AA5">
      <w:r>
        <w:t>Ревизия средств учета электрической энергии (далее - средства учета), используемых для расчетов с юридическими лицами за потребляемую электроэнергию, производится в 1998 - 2000 года</w:t>
      </w:r>
      <w:r>
        <w:t>х, а в дальнейшем - при осуществлении периодических проверок.</w:t>
      </w:r>
    </w:p>
    <w:p w:rsidR="00000000" w:rsidRDefault="00D57AA5">
      <w:bookmarkStart w:id="4" w:name="sub_103"/>
      <w:r>
        <w:t>1.3. Маркирование средств учета, подлежащих ревизии, осуществляется специальными знаками визуального контроля (далее - знаки), изготовленными по специальной технологии по техническим усло</w:t>
      </w:r>
      <w:r>
        <w:t>виям, утверждаемым государственным энергетическим надзором Министерства топлива и энергетики Российской Федерации и РАО "ЕЭС России".</w:t>
      </w:r>
    </w:p>
    <w:bookmarkEnd w:id="4"/>
    <w:p w:rsidR="00000000" w:rsidRDefault="00D57AA5">
      <w:r>
        <w:t>Защищенный знак представляет собой специальную голограмму, изготовленную на диэлектрической основе, разрушаемой при</w:t>
      </w:r>
      <w:r>
        <w:t xml:space="preserve"> малейшем физическом воздействии. Знак состоит из 2 компонентов: полимерного листа (подосновы) и защищенного знака.</w:t>
      </w:r>
    </w:p>
    <w:p w:rsidR="00000000" w:rsidRDefault="00D57AA5">
      <w:r>
        <w:t xml:space="preserve">Описание знаков приведено в </w:t>
      </w:r>
      <w:hyperlink w:anchor="sub_1000" w:history="1">
        <w:r>
          <w:rPr>
            <w:rStyle w:val="a4"/>
          </w:rPr>
          <w:t>приложении N 1</w:t>
        </w:r>
      </w:hyperlink>
      <w:r>
        <w:t xml:space="preserve"> к настоящему Положению.</w:t>
      </w:r>
    </w:p>
    <w:p w:rsidR="00000000" w:rsidRDefault="00D57AA5">
      <w:bookmarkStart w:id="5" w:name="sub_104"/>
      <w:r>
        <w:t>1.4. Организация производства знаков и и</w:t>
      </w:r>
      <w:r>
        <w:t>х распространение осуществляется централизованно в соответствии с настоящим Положением.</w:t>
      </w:r>
    </w:p>
    <w:p w:rsidR="00000000" w:rsidRDefault="00D57AA5">
      <w:bookmarkStart w:id="6" w:name="sub_105"/>
      <w:bookmarkEnd w:id="5"/>
      <w:r>
        <w:t>1.5. Ответственными за установку на средства учета электрической энергии специальных знаков визуального контроля являются организации, осуществляющие пост</w:t>
      </w:r>
      <w:r>
        <w:t xml:space="preserve">авку (сбыт) электрической энергии потребителям - юридическим лицам, и территориальные органы государственного энергетического надзора </w:t>
      </w:r>
      <w:hyperlink w:anchor="sub_1113" w:history="1">
        <w:r>
          <w:rPr>
            <w:rStyle w:val="a4"/>
          </w:rPr>
          <w:t>*3.</w:t>
        </w:r>
      </w:hyperlink>
    </w:p>
    <w:bookmarkEnd w:id="6"/>
    <w:p w:rsidR="00000000" w:rsidRDefault="00D57AA5"/>
    <w:p w:rsidR="00000000" w:rsidRDefault="00D57AA5">
      <w:pPr>
        <w:pStyle w:val="1"/>
      </w:pPr>
      <w:bookmarkStart w:id="7" w:name="sub_200"/>
      <w:r>
        <w:t>II. Ревизия средств учета электрической энергии</w:t>
      </w:r>
    </w:p>
    <w:bookmarkEnd w:id="7"/>
    <w:p w:rsidR="00000000" w:rsidRDefault="00D57AA5"/>
    <w:p w:rsidR="00000000" w:rsidRDefault="00D57AA5">
      <w:bookmarkStart w:id="8" w:name="sub_201"/>
      <w:r>
        <w:t>2.1. Организац</w:t>
      </w:r>
      <w:r>
        <w:t xml:space="preserve">ии, осуществляющие поставку (сбыт) электрической энергии потребителям - юридическим лицам, направляют в управления государственного энергетического надзора в субъектах Российской Федерации списки средств учета электрической энергии, подлежащих ревизии (по </w:t>
      </w:r>
      <w:r>
        <w:t xml:space="preserve">форме </w:t>
      </w:r>
      <w:hyperlink w:anchor="sub_2000" w:history="1">
        <w:r>
          <w:rPr>
            <w:rStyle w:val="a4"/>
          </w:rPr>
          <w:t>приложения N 2</w:t>
        </w:r>
      </w:hyperlink>
      <w:r>
        <w:t xml:space="preserve"> к Положению), для составления графика проведения ревизии, и копии заявок изготовителю знаков на приобретение необходимого количества знаков для маркирования средств учета электрической энергии.</w:t>
      </w:r>
    </w:p>
    <w:p w:rsidR="00000000" w:rsidRDefault="00D57AA5">
      <w:bookmarkStart w:id="9" w:name="sub_202"/>
      <w:bookmarkEnd w:id="8"/>
      <w:r>
        <w:t>2</w:t>
      </w:r>
      <w:r>
        <w:t>.2. Управления государственного энергетического надзора в субъектах Российской Федерации сообщают изготовителю знаков перечни энергосбытовых организаций на подконтрольной им территории.</w:t>
      </w:r>
    </w:p>
    <w:p w:rsidR="00000000" w:rsidRDefault="00D57AA5">
      <w:bookmarkStart w:id="10" w:name="sub_23"/>
      <w:bookmarkEnd w:id="9"/>
      <w:r>
        <w:t>2.3. Организации, осуществляющие поставку (сбыт) электрич</w:t>
      </w:r>
      <w:r>
        <w:t xml:space="preserve">еской энергии потребителям - юридическим лицам, после составления списка средств учета электрической энергии, подлежащих ревизии, составляют и направляют изготовителю знаков заявки на приобретение знаков для </w:t>
      </w:r>
      <w:r>
        <w:lastRenderedPageBreak/>
        <w:t>маркирования средств учета электрической энергии</w:t>
      </w:r>
      <w:r>
        <w:t>.</w:t>
      </w:r>
    </w:p>
    <w:p w:rsidR="00000000" w:rsidRDefault="00D57AA5">
      <w:bookmarkStart w:id="11" w:name="sub_204"/>
      <w:bookmarkEnd w:id="10"/>
      <w:r>
        <w:t>2.4. Управление государственного энергетического надзора в субъекте Российской Федерации на основании полученных списков, составляет сводный график проведения ревизии средств учета и сообщает его всем энергосбытовым организациям и территориа</w:t>
      </w:r>
      <w:r>
        <w:t>льному органу Госстандарта России.</w:t>
      </w:r>
    </w:p>
    <w:p w:rsidR="00000000" w:rsidRDefault="00D57AA5">
      <w:bookmarkStart w:id="12" w:name="sub_205"/>
      <w:bookmarkEnd w:id="11"/>
      <w:r>
        <w:t>2.5. Главной задачей проведения ревизии средств учета электрической энергии является проверка соответствия их фактического состояния требованиям действующих нормативных документов, соблюдения сроков периодич</w:t>
      </w:r>
      <w:r>
        <w:t>еских поверок и повышения их защищенности от несанкционированного доступа.</w:t>
      </w:r>
    </w:p>
    <w:bookmarkEnd w:id="12"/>
    <w:p w:rsidR="00000000" w:rsidRDefault="00D57AA5">
      <w:r>
        <w:t>Ревизия должна осуществляться путем визуального осмотра, проверки пломб и технической документации средств учета электрической энергии.</w:t>
      </w:r>
    </w:p>
    <w:p w:rsidR="00000000" w:rsidRDefault="00D57AA5">
      <w:r>
        <w:t>В ходе ревизии должны быть проверены:</w:t>
      </w:r>
    </w:p>
    <w:p w:rsidR="00000000" w:rsidRDefault="00D57AA5">
      <w:r>
        <w:t xml:space="preserve">- установка расчетных приборов учета на границе сетей потребителя и энергоснабжающей организации и способ учета потерь электроэнергии на участке от границы до места установки расчетных приборов учета, если они установлены не на границе сетей потребителя и </w:t>
      </w:r>
      <w:r>
        <w:t>энергоснабжающей организации;</w:t>
      </w:r>
    </w:p>
    <w:p w:rsidR="00000000" w:rsidRDefault="00D57AA5">
      <w:r>
        <w:t>- соответствие классов точности расчетных электросчетчиков и измерительных трансформаторов тока и напряжения требованиям действующих нормативных правовых актов об устройстве электроустановок;</w:t>
      </w:r>
    </w:p>
    <w:p w:rsidR="00000000" w:rsidRDefault="00D57AA5">
      <w:r>
        <w:t>- наличие необходимых пломб на рас</w:t>
      </w:r>
      <w:r>
        <w:t>четных приборах учета;</w:t>
      </w:r>
    </w:p>
    <w:p w:rsidR="00000000" w:rsidRDefault="00D57AA5">
      <w:r>
        <w:t>- соблюдение межповерочных интервалов расчетных электросчетчиков, трансформаторов тока и трансформаторов напряжения;</w:t>
      </w:r>
    </w:p>
    <w:p w:rsidR="00000000" w:rsidRDefault="00D57AA5">
      <w:r>
        <w:t>- соответствие коэффициентов трансформации трансформаторов тока реальным режимам загрузки проверяемых присоединений;</w:t>
      </w:r>
    </w:p>
    <w:p w:rsidR="00000000" w:rsidRDefault="00D57AA5">
      <w:r>
        <w:t>- отсутствие перегрузки на трансформаторах напряжения, к которым подсоединены расчетные электросчетчики;</w:t>
      </w:r>
    </w:p>
    <w:p w:rsidR="00000000" w:rsidRDefault="00D57AA5">
      <w:r>
        <w:t>- величина потерь напряжения в соединительных проводах от трансформаторов напряжения до расчетных электросчетчиков и ее соответствие требованиям дейст</w:t>
      </w:r>
      <w:r>
        <w:t xml:space="preserve">вующих </w:t>
      </w:r>
      <w:hyperlink r:id="rId6" w:history="1">
        <w:r>
          <w:rPr>
            <w:rStyle w:val="a4"/>
          </w:rPr>
          <w:t>правил устройства электроустановок</w:t>
        </w:r>
      </w:hyperlink>
      <w:r>
        <w:t>;</w:t>
      </w:r>
    </w:p>
    <w:p w:rsidR="00000000" w:rsidRDefault="00D57AA5">
      <w:r>
        <w:t>- соответствие температурного режима эксплуатации расчетных электросчетчиков требованиям технических паспортов поверяемых приборов, а также наличие и исправность утепляющих кожух</w:t>
      </w:r>
      <w:r>
        <w:t>ов на них при установке в неотапливаемых помещениях;</w:t>
      </w:r>
    </w:p>
    <w:p w:rsidR="00000000" w:rsidRDefault="00D57AA5">
      <w:r>
        <w:t>- наличие и количество незащищенных от несанкционированного вмешательства клеммных соединений в цепях учета, приводов трансформаторов напряжения, подлежащих маркированию знаками;</w:t>
      </w:r>
    </w:p>
    <w:p w:rsidR="00000000" w:rsidRDefault="00D57AA5">
      <w:r>
        <w:t>- правильность схемы включения расчетных приборов учета.</w:t>
      </w:r>
    </w:p>
    <w:p w:rsidR="00000000" w:rsidRDefault="00D57AA5">
      <w:r>
        <w:t>Как правило, при проведении ревизии контрольные приборные измерения в цепях учета не осуществляются. Однако при возникновении у членов комиссии сомнений в правильности включения ревизуемых приборов у</w:t>
      </w:r>
      <w:r>
        <w:t>чета такие измерения могут быть проведены с оформлением этих работ в установленном порядке и соблюдением действующих нормативных правовых актов о технике безопасности.</w:t>
      </w:r>
    </w:p>
    <w:p w:rsidR="00000000" w:rsidRDefault="00D57AA5">
      <w:bookmarkStart w:id="13" w:name="sub_206"/>
      <w:r>
        <w:t>2.6. График проведения ревизии и состав комиссии определяется управлением государ</w:t>
      </w:r>
      <w:r>
        <w:t>ственного энергетического надзора в субъекте Российской Федерации заблаговременно и доводится до всех заинтересованных лиц.</w:t>
      </w:r>
    </w:p>
    <w:p w:rsidR="00000000" w:rsidRDefault="00D57AA5">
      <w:bookmarkStart w:id="14" w:name="sub_207"/>
      <w:bookmarkEnd w:id="13"/>
      <w:r>
        <w:t>2.7. Ревизия проводится комиссией, состоящей из представителей энергосбытовой организации, потребителя, территориально</w:t>
      </w:r>
      <w:r>
        <w:t>го органа Госстандарта России и инспектора управления государственного энергетического надзора в субъекте Российской Федерации.</w:t>
      </w:r>
    </w:p>
    <w:bookmarkEnd w:id="14"/>
    <w:p w:rsidR="00000000" w:rsidRDefault="00D57AA5">
      <w:r>
        <w:t>Участие в комиссии представителя территориального управления государственного энергетического надзора обязательно при про</w:t>
      </w:r>
      <w:r>
        <w:t>ведении ревизии средств учета, обеспечивающих учет выработанной электроэнергии и учет межсистемных перетоков энергии.</w:t>
      </w:r>
    </w:p>
    <w:p w:rsidR="00000000" w:rsidRDefault="00D57AA5">
      <w:r>
        <w:lastRenderedPageBreak/>
        <w:t>Председателем комиссии может быть назначен представитель управления государственного энергетического надзора в субъекте Российской Федерац</w:t>
      </w:r>
      <w:r>
        <w:t>ии или представитель Госстандарта России.</w:t>
      </w:r>
    </w:p>
    <w:p w:rsidR="00000000" w:rsidRDefault="00D57AA5">
      <w:r>
        <w:t>Все члены комиссии должны иметь группу по электробезопасности не ниже третьей.</w:t>
      </w:r>
    </w:p>
    <w:p w:rsidR="00000000" w:rsidRDefault="00D57AA5">
      <w:bookmarkStart w:id="15" w:name="sub_208"/>
      <w:r>
        <w:t>2.8. По требованию комиссии потребитель и энергосбытовая организация обязаны предоставить все необходимые для проведения ревизии</w:t>
      </w:r>
      <w:r>
        <w:t xml:space="preserve"> материалы и документацию (договор об электроснабжении, протоколы замеров нагрузок измерительных трансформаторов тока и напряжения, протоколы замеров потерь напряжения в проводах, соединяющих измерительные трансформаторы напряжения и электросчетчики, принц</w:t>
      </w:r>
      <w:r>
        <w:t>ипиальные и монтажные схемы цепей учета и т.п.).</w:t>
      </w:r>
    </w:p>
    <w:p w:rsidR="00000000" w:rsidRDefault="00D57AA5">
      <w:bookmarkStart w:id="16" w:name="sub_209"/>
      <w:bookmarkEnd w:id="15"/>
      <w:r>
        <w:t>2.9. Результаты проведения ревизии оформляются актом (</w:t>
      </w:r>
      <w:hyperlink w:anchor="sub_3000" w:history="1">
        <w:r>
          <w:rPr>
            <w:rStyle w:val="a4"/>
          </w:rPr>
          <w:t>приложение N 3</w:t>
        </w:r>
      </w:hyperlink>
      <w:r>
        <w:t>). Акт о проведении ревизии и маркировании средств учета электрической энергии, используемых для ра</w:t>
      </w:r>
      <w:r>
        <w:t>счетов за потребляемую электроэнергию с юридическим лицом, составляется в четырех экземплярах, которые подписываются всеми членами комиссии при их согласии с результатами ревизии.</w:t>
      </w:r>
    </w:p>
    <w:bookmarkEnd w:id="16"/>
    <w:p w:rsidR="00000000" w:rsidRDefault="00D57AA5">
      <w:r>
        <w:t>В этом случае непосредственно после окончания ревизии должно быть про</w:t>
      </w:r>
      <w:r>
        <w:t>ведено маркирование средств учета электрической энергии специальными знаками визуального контроля.</w:t>
      </w:r>
    </w:p>
    <w:p w:rsidR="00000000" w:rsidRDefault="00D57AA5">
      <w:r>
        <w:t>Один экземпляр акта остается в энергосбытовой организации, второй - у потребителя. По одному экземпляру направляется в соответствующее управление государстве</w:t>
      </w:r>
      <w:r>
        <w:t>нного энергетического надзора в субъекте Российской Федерации и территориальный орган Госстандарта России, независимо от того, принимали ли участие их представители в проведении данной ревизии.</w:t>
      </w:r>
    </w:p>
    <w:p w:rsidR="00000000" w:rsidRDefault="00D57AA5">
      <w:bookmarkStart w:id="17" w:name="sub_210"/>
      <w:r>
        <w:t>2.10. При немотивированном отказе потребителя или энерг</w:t>
      </w:r>
      <w:r>
        <w:t>осбытовой организации от подписи акта по результатам проведенной ревизии представителем управления государственного энергетического надзора в субъекте Российской Федерации или территориального органа Госстандарта России (в зависимости от того, кто в данном</w:t>
      </w:r>
      <w:r>
        <w:t xml:space="preserve"> случае возглавлял комиссию) делается в акте соответствующая отметка об этом (например, запись: "от подписи отказался"), акт подписывается остальными членами комиссии и председателем комиссии.</w:t>
      </w:r>
    </w:p>
    <w:bookmarkEnd w:id="17"/>
    <w:p w:rsidR="00000000" w:rsidRDefault="00D57AA5">
      <w:r>
        <w:t>В случае выявления в ходе ревизии нарушений выдается пре</w:t>
      </w:r>
      <w:r>
        <w:t>дписание (на бланке управления государственного энергетического надзора в субъекте Российской Федерации или территориального органа Госстандарта России) об устранении выявленных нарушений с перечислением пунктов конкретных нормативных документов, требовани</w:t>
      </w:r>
      <w:r>
        <w:t>я которых нарушены, и указанием сроков их устранения.</w:t>
      </w:r>
    </w:p>
    <w:p w:rsidR="00000000" w:rsidRDefault="00D57AA5"/>
    <w:p w:rsidR="00000000" w:rsidRDefault="00D57AA5">
      <w:pPr>
        <w:pStyle w:val="1"/>
      </w:pPr>
      <w:bookmarkStart w:id="18" w:name="sub_300"/>
      <w:r>
        <w:t>III. Маркирование средств учета электрической энергии</w:t>
      </w:r>
    </w:p>
    <w:bookmarkEnd w:id="18"/>
    <w:p w:rsidR="00000000" w:rsidRDefault="00D57AA5"/>
    <w:p w:rsidR="00000000" w:rsidRDefault="00D57AA5">
      <w:bookmarkStart w:id="19" w:name="sub_301"/>
      <w:r>
        <w:t>3.1. Средства учета, прошедшие ревизию, подлежат маркированию знаками, если в процессе ее проведения будут выявлены не защище</w:t>
      </w:r>
      <w:r>
        <w:t>нные от несанкционированного доступа точки (разъемные соединения электрических цепей, электроизмерительные приборы и коммутационные аппараты в цепях учета).</w:t>
      </w:r>
    </w:p>
    <w:bookmarkEnd w:id="19"/>
    <w:p w:rsidR="00000000" w:rsidRDefault="00D57AA5">
      <w:r>
        <w:t>Если комиссия в процессе ревизии не выявит не защищенных от несанкционированного доступа мес</w:t>
      </w:r>
      <w:r>
        <w:t>т в цепях учета, то знаки в этом случае не устанавливаются, а факт прохождения ревизии подтверждается только актом о ее проведении. При этом в акте делается отметка: "Маркированию не подлежит".</w:t>
      </w:r>
    </w:p>
    <w:p w:rsidR="00000000" w:rsidRDefault="00D57AA5">
      <w:bookmarkStart w:id="20" w:name="sub_302"/>
      <w:r>
        <w:t>3.2. Маркирование знаками клеммных соединений осуществл</w:t>
      </w:r>
      <w:r>
        <w:t>яется только при условии снятия с них напряжения с соблюдением действующих правил техники безопасности.</w:t>
      </w:r>
    </w:p>
    <w:bookmarkEnd w:id="20"/>
    <w:p w:rsidR="00000000" w:rsidRDefault="00D57AA5">
      <w:r>
        <w:t>После снятия напряжения визуальным осмотром уточняются места установки знаков и необходимые размеры подосновы для надежной защиты клеммного соеди</w:t>
      </w:r>
      <w:r>
        <w:t>нения.</w:t>
      </w:r>
    </w:p>
    <w:p w:rsidR="00000000" w:rsidRDefault="00D57AA5">
      <w:r>
        <w:t xml:space="preserve">Затем из листа вырезается участок подосновы красного цвета необходимой конфигурации, на нем закрепляется марка (голографический знак) и только после этого клеммное соединение </w:t>
      </w:r>
      <w:r>
        <w:lastRenderedPageBreak/>
        <w:t>заклеивается таким образом, чтобы марка при этом не повредилась, подоснова</w:t>
      </w:r>
      <w:r>
        <w:t xml:space="preserve"> приклеилась прочно и доступ к клеммному соединению был надежно защищен.</w:t>
      </w:r>
    </w:p>
    <w:p w:rsidR="00000000" w:rsidRDefault="00D57AA5">
      <w:r>
        <w:t>Маркирование корпусов электроизмерительных приборов и коммутационных аппаратов в цепях учета может проводиться знаками без предварительного их закрепления на подоснове и без снятия на</w:t>
      </w:r>
      <w:r>
        <w:t>пряжения с соблюдением необходимых мер предосторожности.</w:t>
      </w:r>
    </w:p>
    <w:p w:rsidR="00000000" w:rsidRDefault="00D57AA5">
      <w:bookmarkStart w:id="21" w:name="sub_303"/>
      <w:r>
        <w:t>3.3. Изготовитель знаков обеспечивает органы, осуществляющие контроль за средствами учета и нанесенными на них знаками, образцами знаков, техническими средствами для определения их подлинности</w:t>
      </w:r>
      <w:r>
        <w:t>, а также необходимой документацией.</w:t>
      </w:r>
    </w:p>
    <w:p w:rsidR="00000000" w:rsidRDefault="00D57AA5">
      <w:bookmarkStart w:id="22" w:name="sub_304"/>
      <w:bookmarkEnd w:id="21"/>
      <w:r>
        <w:t>3.4. В случае выявления знаков, имеющих производственный или механический брак, энергосбытовые организации возвращают их изготовителю по месту получения с заменой их на небракованные.</w:t>
      </w:r>
    </w:p>
    <w:p w:rsidR="00000000" w:rsidRDefault="00D57AA5">
      <w:bookmarkStart w:id="23" w:name="sub_305"/>
      <w:bookmarkEnd w:id="22"/>
      <w:r>
        <w:t>3.5. Дл</w:t>
      </w:r>
      <w:r>
        <w:t>я сдачи и подсчета поврежденных знаков они наклеиваются на отдельные листы бумаги, номера бракованных знаков вписываются в акт, оформленный в двух экземплярах, который подписывается комиссией из трех человек, назначенных энергосбытовой организацией.</w:t>
      </w:r>
    </w:p>
    <w:bookmarkEnd w:id="23"/>
    <w:p w:rsidR="00000000" w:rsidRDefault="00D57AA5">
      <w:r>
        <w:t>Первый экземпляр акта вместе с наклеенными знаками направляется изготовителю для замены. Второй экземпляр акта остается в энергосбытовой организации.</w:t>
      </w:r>
    </w:p>
    <w:p w:rsidR="00000000" w:rsidRDefault="00D57AA5"/>
    <w:p w:rsidR="00000000" w:rsidRDefault="00D57AA5">
      <w:pPr>
        <w:pStyle w:val="1"/>
      </w:pPr>
      <w:bookmarkStart w:id="24" w:name="sub_400"/>
      <w:r>
        <w:t>IV. Контроль за соблюдением Положения</w:t>
      </w:r>
    </w:p>
    <w:bookmarkEnd w:id="24"/>
    <w:p w:rsidR="00000000" w:rsidRDefault="00D57AA5"/>
    <w:p w:rsidR="00000000" w:rsidRDefault="00D57AA5">
      <w:bookmarkStart w:id="25" w:name="sub_401"/>
      <w:r>
        <w:t xml:space="preserve">4.1. Контроль за </w:t>
      </w:r>
      <w:r>
        <w:t>соблюдением требований настоящего Положения осуществляют управления государственного энергетического надзора в субъектах Российской Федерации и Госстандарт России в пределах своей компетенции.</w:t>
      </w:r>
    </w:p>
    <w:bookmarkEnd w:id="25"/>
    <w:p w:rsidR="00000000" w:rsidRDefault="00D57AA5"/>
    <w:p w:rsidR="00000000" w:rsidRDefault="00D57AA5">
      <w:pPr>
        <w:pStyle w:val="a9"/>
      </w:pPr>
      <w:r>
        <w:t>Согласовано:</w:t>
      </w:r>
    </w:p>
    <w:p w:rsidR="00000000" w:rsidRDefault="00D57AA5">
      <w:pPr>
        <w:pStyle w:val="a9"/>
      </w:pPr>
      <w:r>
        <w:t>Министерством финансов</w:t>
      </w:r>
    </w:p>
    <w:p w:rsidR="00000000" w:rsidRDefault="00D57AA5">
      <w:pPr>
        <w:pStyle w:val="a9"/>
      </w:pPr>
      <w:r>
        <w:t>Российской Федераци</w:t>
      </w:r>
      <w:r>
        <w:t>и</w:t>
      </w:r>
    </w:p>
    <w:p w:rsidR="00000000" w:rsidRDefault="00D57AA5"/>
    <w:p w:rsidR="00000000" w:rsidRDefault="00D57AA5">
      <w:pPr>
        <w:pStyle w:val="a9"/>
      </w:pPr>
      <w:r>
        <w:t>РАО "ЕЭС России"</w:t>
      </w:r>
    </w:p>
    <w:p w:rsidR="00000000" w:rsidRDefault="00D57AA5"/>
    <w:p w:rsidR="00000000" w:rsidRDefault="00D57AA5">
      <w:pPr>
        <w:pStyle w:val="a9"/>
      </w:pPr>
      <w:r>
        <w:t>Зарегистрировано в Минюсте РФ 20 октября 1998 г.</w:t>
      </w:r>
    </w:p>
    <w:p w:rsidR="00000000" w:rsidRDefault="00D57AA5">
      <w:pPr>
        <w:pStyle w:val="a9"/>
      </w:pPr>
      <w:r>
        <w:t>Регистрационный N 1636</w:t>
      </w:r>
    </w:p>
    <w:p w:rsidR="00000000" w:rsidRDefault="00D57AA5"/>
    <w:p w:rsidR="00000000" w:rsidRDefault="00D57AA5">
      <w:pPr>
        <w:ind w:firstLine="0"/>
        <w:jc w:val="right"/>
      </w:pPr>
      <w:bookmarkStart w:id="26" w:name="sub_1000"/>
      <w:r>
        <w:rPr>
          <w:rStyle w:val="a3"/>
        </w:rPr>
        <w:t>Приложение N 1</w:t>
      </w:r>
    </w:p>
    <w:bookmarkEnd w:id="26"/>
    <w:p w:rsidR="00000000" w:rsidRDefault="00D57AA5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проведения</w:t>
      </w:r>
    </w:p>
    <w:p w:rsidR="00000000" w:rsidRDefault="00D57AA5">
      <w:pPr>
        <w:ind w:firstLine="0"/>
        <w:jc w:val="right"/>
      </w:pPr>
      <w:r>
        <w:rPr>
          <w:rStyle w:val="a3"/>
        </w:rPr>
        <w:t>ревизии маркирования специальными</w:t>
      </w:r>
    </w:p>
    <w:p w:rsidR="00000000" w:rsidRDefault="00D57AA5">
      <w:pPr>
        <w:ind w:firstLine="0"/>
        <w:jc w:val="right"/>
      </w:pPr>
      <w:r>
        <w:rPr>
          <w:rStyle w:val="a3"/>
        </w:rPr>
        <w:t>знаками визуального контроля средств</w:t>
      </w:r>
    </w:p>
    <w:p w:rsidR="00000000" w:rsidRDefault="00D57AA5">
      <w:pPr>
        <w:ind w:firstLine="0"/>
        <w:jc w:val="right"/>
      </w:pPr>
      <w:r>
        <w:rPr>
          <w:rStyle w:val="a3"/>
        </w:rPr>
        <w:t>учет</w:t>
      </w:r>
      <w:r>
        <w:rPr>
          <w:rStyle w:val="a3"/>
        </w:rPr>
        <w:t>а электрической энергии</w:t>
      </w:r>
    </w:p>
    <w:p w:rsidR="00000000" w:rsidRDefault="00D57AA5"/>
    <w:p w:rsidR="00000000" w:rsidRDefault="00D57AA5">
      <w:pPr>
        <w:pStyle w:val="1"/>
      </w:pPr>
      <w:r>
        <w:t>Описание специальных знаков визуального контроля</w:t>
      </w:r>
    </w:p>
    <w:p w:rsidR="00000000" w:rsidRDefault="00D57AA5"/>
    <w:p w:rsidR="00000000" w:rsidRDefault="00D57AA5">
      <w:r>
        <w:t>Специальные знаки визуального контроля (далее - знаки) предназначены для защиты:</w:t>
      </w:r>
    </w:p>
    <w:p w:rsidR="00000000" w:rsidRDefault="00D57AA5">
      <w:r>
        <w:t>- разъемных соединений электрических цепей путем закрепления поверх соединения;</w:t>
      </w:r>
    </w:p>
    <w:p w:rsidR="00000000" w:rsidRDefault="00D57AA5">
      <w:r>
        <w:t>- электроизмерительн</w:t>
      </w:r>
      <w:r>
        <w:t>ых приборов и коммутационных аппаратов в цепях учета путем закрепления поверх места стыковки элементов корпуса.</w:t>
      </w:r>
    </w:p>
    <w:p w:rsidR="00000000" w:rsidRDefault="00D57AA5">
      <w:r>
        <w:t>Знак состоит из 2-х компонентов:</w:t>
      </w:r>
    </w:p>
    <w:p w:rsidR="00000000" w:rsidRDefault="00D57AA5">
      <w:r>
        <w:t>- перфорированного полимерного листа (подосновы), разрезаемого вдоль перфорации на ленты необходимой конфигурац</w:t>
      </w:r>
      <w:r>
        <w:t xml:space="preserve">ии и размера. Лента перфорирована в двух взаимно перпендикулярных направлениях с шагом 6 мм. Расстояние между отверстиями перфорации 1 мм, </w:t>
      </w:r>
      <w:r>
        <w:lastRenderedPageBreak/>
        <w:t>диаметр отверстий 0,5 мм. На стороне листа, обращенной к защищаемому предмету, нанесен клеевой слой. Для защиты клеев</w:t>
      </w:r>
      <w:r>
        <w:t xml:space="preserve">ого слоя от повреждения при транспортировке и хранении поверх клеевого слоя располагается слой бумаги или полимера. Подоснова, предназначенная для изготовления знаков, защищающих токоведущие соединения, имеет красный цвет, предназначенная для изготовления </w:t>
      </w:r>
      <w:r>
        <w:t>знаков, защищающих нетоковедующие соединения - зеленый;</w:t>
      </w:r>
    </w:p>
    <w:p w:rsidR="00000000" w:rsidRDefault="00D57AA5">
      <w:r>
        <w:t xml:space="preserve">- защищенного знака (голографической марки), закрепляемой на подоснове в удобном для контроля месте. Марка представляет собой голографическое изображение знака высокого электрического напряжения ГОСТ </w:t>
      </w:r>
      <w:r>
        <w:t xml:space="preserve">6395-52 в обрамлении на фоне периодической линейчатой структуры. В соответствии с ГОСТ 6395-52 высота голографического изображения знака высокого электрического напряжения (Н) должна быть 5 мм, ширина (L) - 2,5 мм. Вдоль наибольшего размера знака высокого </w:t>
      </w:r>
      <w:r>
        <w:t>электрического напряжения (Н) на марке полиграфически печатается номер знака, включающий номер региона в соответствии с классификатором Минтопэнерго России и порядковый номер знака, состоящий из 6 цифр. Размер знака - 8х14 мм, размер цифровой части знака -</w:t>
      </w:r>
      <w:r>
        <w:t xml:space="preserve"> 3х12 мм.</w:t>
      </w:r>
    </w:p>
    <w:p w:rsidR="00000000" w:rsidRDefault="00D57AA5">
      <w:r>
        <w:t>Голографическое изображение знака вместе с обрамлением и фоном должно полностью воспроизводиться при рассмотрении знака в направлении, перпендикулярном плоскости листа. При рассмотрении знака под другими углами зрения должны отчетливо воспроизвод</w:t>
      </w:r>
      <w:r>
        <w:t>иться элементы голографического изображения знака высокого электрического напряжения ГОСТ 6395-52, обрамления и фона.</w:t>
      </w:r>
    </w:p>
    <w:p w:rsidR="00000000" w:rsidRDefault="00D57AA5">
      <w:r>
        <w:t xml:space="preserve">Для удобства закрепления марки на подоснове или </w:t>
      </w:r>
      <w:r>
        <w:t>корпусе прибора голографическая марка должна иметь клеевой слой. При закреплении знака на защищаемом соединении сначала производится приклеивание голографической марки к подоснове, а затем закрепление подосновы, несущей голографическую марку, на защищаемом</w:t>
      </w:r>
      <w:r>
        <w:t xml:space="preserve"> соединении. При защите корпусов приборов голографическая марка может приклеиваться как непосредственно на корпус прибора, так и на подоснову зеленого цвета. Для защиты клеевого слоя голографической марки от повреждения при хранении и транспортировке повер</w:t>
      </w:r>
      <w:r>
        <w:t>х клеевого слоя располагается слой бумаги или полимера.</w:t>
      </w:r>
    </w:p>
    <w:p w:rsidR="00000000" w:rsidRDefault="00D57AA5">
      <w:r>
        <w:t xml:space="preserve">Для предотвращения утечек электрического тока в защищаемых соединениях знак должен быть негигроскопичен, не должен изменять свои электрические и механические параметры в диапазоне температур от -50°С </w:t>
      </w:r>
      <w:r>
        <w:t>до +50°С. Электрическая прочность материала знака должна обеспечить его стабильность в полях с напряженностью до 20 кВ/мм, электрическая прочность поверхности знака не менее 2,5 кВ/см. Прочность клеевого соединения подосновы с защищаемым соединением и голо</w:t>
      </w:r>
      <w:r>
        <w:t>графической марки с подосновой должна быть достаточно высокой, чтобы при попытке отделения знака от соединения или корпуса прибора или несанкционированного доступа к соединению или корпусу прибора происходило необратимое разрушение знака.</w:t>
      </w:r>
    </w:p>
    <w:p w:rsidR="00000000" w:rsidRDefault="00D57AA5">
      <w:r>
        <w:t>Под разрушением з</w:t>
      </w:r>
      <w:r>
        <w:t>нака понимается:</w:t>
      </w:r>
    </w:p>
    <w:p w:rsidR="00000000" w:rsidRDefault="00D57AA5">
      <w:bookmarkStart w:id="27" w:name="sub_100000"/>
      <w:r>
        <w:t>1. Разрушение подосновы вдоль перфорации или произвольно.</w:t>
      </w:r>
    </w:p>
    <w:p w:rsidR="00000000" w:rsidRDefault="00D57AA5">
      <w:bookmarkStart w:id="28" w:name="sub_1"/>
      <w:bookmarkEnd w:id="27"/>
      <w:r>
        <w:t>2. Появление локальных отверстий в подоснове, отличающихся от перфорации.</w:t>
      </w:r>
    </w:p>
    <w:p w:rsidR="00000000" w:rsidRDefault="00D57AA5">
      <w:bookmarkStart w:id="29" w:name="sub_2"/>
      <w:bookmarkEnd w:id="28"/>
      <w:r>
        <w:t>3. Отделение подосновы от защищаемого соединения.</w:t>
      </w:r>
    </w:p>
    <w:p w:rsidR="00000000" w:rsidRDefault="00D57AA5">
      <w:bookmarkStart w:id="30" w:name="sub_3"/>
      <w:bookmarkEnd w:id="29"/>
      <w:r>
        <w:t>4. Отделение</w:t>
      </w:r>
      <w:r>
        <w:t xml:space="preserve"> голографической марки от подосновы или корпуса прибора.</w:t>
      </w:r>
    </w:p>
    <w:p w:rsidR="00000000" w:rsidRDefault="00D57AA5">
      <w:bookmarkStart w:id="31" w:name="sub_4"/>
      <w:bookmarkEnd w:id="30"/>
      <w:r>
        <w:t>5. Разрушение голографической марки.</w:t>
      </w:r>
    </w:p>
    <w:p w:rsidR="00000000" w:rsidRDefault="00D57AA5">
      <w:bookmarkStart w:id="32" w:name="sub_5"/>
      <w:bookmarkEnd w:id="31"/>
      <w:r>
        <w:t>6. Повреждение цифровой информации.</w:t>
      </w:r>
    </w:p>
    <w:bookmarkEnd w:id="32"/>
    <w:p w:rsidR="00000000" w:rsidRDefault="00D57AA5"/>
    <w:p w:rsidR="00000000" w:rsidRDefault="00D57AA5">
      <w:pPr>
        <w:pStyle w:val="a6"/>
        <w:rPr>
          <w:color w:val="000000"/>
          <w:sz w:val="16"/>
          <w:szCs w:val="16"/>
        </w:rPr>
      </w:pPr>
      <w:bookmarkStart w:id="33" w:name="sub_2000"/>
      <w:r>
        <w:rPr>
          <w:color w:val="000000"/>
          <w:sz w:val="16"/>
          <w:szCs w:val="16"/>
        </w:rPr>
        <w:t>ГАРАНТ:</w:t>
      </w:r>
    </w:p>
    <w:bookmarkEnd w:id="33"/>
    <w:p w:rsidR="00000000" w:rsidRDefault="00D57AA5">
      <w:pPr>
        <w:pStyle w:val="a6"/>
      </w:pPr>
      <w:r>
        <w:t>См. данную форму в редакторе MS-Excel</w:t>
      </w:r>
    </w:p>
    <w:p w:rsidR="00000000" w:rsidRDefault="00D57AA5">
      <w:pPr>
        <w:ind w:firstLine="0"/>
        <w:jc w:val="right"/>
      </w:pPr>
      <w:r>
        <w:rPr>
          <w:rStyle w:val="a3"/>
        </w:rPr>
        <w:t>Приложение N 2</w:t>
      </w:r>
    </w:p>
    <w:p w:rsidR="00000000" w:rsidRDefault="00D57AA5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</w:t>
        </w:r>
        <w:r>
          <w:rPr>
            <w:rStyle w:val="a4"/>
          </w:rPr>
          <w:t>оложению</w:t>
        </w:r>
      </w:hyperlink>
      <w:r>
        <w:rPr>
          <w:rStyle w:val="a3"/>
        </w:rPr>
        <w:t xml:space="preserve"> о порядке проведения</w:t>
      </w:r>
    </w:p>
    <w:p w:rsidR="00000000" w:rsidRDefault="00D57AA5">
      <w:pPr>
        <w:ind w:firstLine="0"/>
        <w:jc w:val="right"/>
      </w:pPr>
      <w:r>
        <w:rPr>
          <w:rStyle w:val="a3"/>
        </w:rPr>
        <w:t>ревизии и маркирования специальными</w:t>
      </w:r>
    </w:p>
    <w:p w:rsidR="00000000" w:rsidRDefault="00D57AA5">
      <w:pPr>
        <w:ind w:firstLine="0"/>
        <w:jc w:val="right"/>
      </w:pPr>
      <w:r>
        <w:rPr>
          <w:rStyle w:val="a3"/>
        </w:rPr>
        <w:t>знаками визуального контроля средств</w:t>
      </w:r>
    </w:p>
    <w:p w:rsidR="00000000" w:rsidRDefault="00D57AA5">
      <w:pPr>
        <w:ind w:firstLine="0"/>
        <w:jc w:val="right"/>
      </w:pPr>
      <w:r>
        <w:rPr>
          <w:rStyle w:val="a3"/>
        </w:rPr>
        <w:t>учета электрической энергии</w:t>
      </w:r>
    </w:p>
    <w:p w:rsidR="00000000" w:rsidRDefault="00D57AA5"/>
    <w:p w:rsidR="00000000" w:rsidRDefault="00D57AA5">
      <w:pPr>
        <w:pStyle w:val="1"/>
      </w:pPr>
      <w:r>
        <w:lastRenderedPageBreak/>
        <w:t>Список</w:t>
      </w:r>
      <w:r>
        <w:br/>
        <w:t>средств учета электрической энергии, используемых для расчетов с юридическими лицами и подлежащих ревизии</w:t>
      </w:r>
    </w:p>
    <w:p w:rsidR="00000000" w:rsidRDefault="00D57AA5"/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┌───┬──</w:t>
      </w:r>
      <w:r>
        <w:rPr>
          <w:sz w:val="22"/>
          <w:szCs w:val="22"/>
        </w:rPr>
        <w:t>─────────┬────┬─────┬────────────────────────────────────────────┐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│NN │Юридическое│ NN │ NN  │      Наличие в схемах включения расчетных 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│п/п│   лицо    │п/ст│счет.│            электросчетчиков:              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│  (адрес)  │    │     │             </w:t>
      </w:r>
      <w:r>
        <w:rPr>
          <w:sz w:val="22"/>
          <w:szCs w:val="22"/>
        </w:rPr>
        <w:t xml:space="preserve">    (+, -)                    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│    │     ├──┬───┬─────┬─────┬─────┬──────┬────────────┤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│    │     │ТТ│ ТН│ Эл. │Пром.│АСКУЭ│Место │Температур-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│    │     │  │   │часов│клемм│     │уста- │ный режим  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</w:t>
      </w:r>
      <w:r>
        <w:rPr>
          <w:sz w:val="22"/>
          <w:szCs w:val="22"/>
        </w:rPr>
        <w:t xml:space="preserve">   │           │    │     │  │   │     │     │     │новки │в месте    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│    │     │  │   │     │     │     │</w:t>
      </w:r>
      <w:hyperlink w:anchor="sub_2111" w:history="1">
        <w:r>
          <w:rPr>
            <w:rStyle w:val="a4"/>
            <w:sz w:val="22"/>
            <w:szCs w:val="22"/>
          </w:rPr>
          <w:t>*4</w:t>
        </w:r>
      </w:hyperlink>
      <w:r>
        <w:rPr>
          <w:sz w:val="22"/>
          <w:szCs w:val="22"/>
        </w:rPr>
        <w:t xml:space="preserve">    │устан. (+ -)│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├───┼───────────┼────┼─────┼──┼───┼─────┼─────┼─────┼──────┼────────────┤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</w:t>
      </w:r>
      <w:r>
        <w:rPr>
          <w:sz w:val="22"/>
          <w:szCs w:val="22"/>
        </w:rPr>
        <w:t>───────┼────┼─────┼──┼───┼─────┼─────┼─────┼──────┼────────────┤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├───┼───────────┼────┼─────┼──┼───┼─────┼─────┼─────┼──────┼────────────┤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├───┼───────────┼────┼─────┼──┼───┼─────┼─────┼─────┼──────┼────────────┤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│   │           │    │Ито- │  │   │     │  </w:t>
      </w:r>
      <w:r>
        <w:rPr>
          <w:sz w:val="22"/>
          <w:szCs w:val="22"/>
        </w:rPr>
        <w:t xml:space="preserve">   │     │      │           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│    │го   │  │   │     │     │     │      │           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│   │           │    │(шт) │  │   │     │     │     │      │            │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└───┴───────────┴────┴─────┴──┴───┴─────┴─────┴─────┴──────┴────────────┘</w:t>
      </w:r>
    </w:p>
    <w:p w:rsidR="00000000" w:rsidRDefault="00D57AA5"/>
    <w:p w:rsidR="00000000" w:rsidRDefault="00D57AA5">
      <w:pPr>
        <w:ind w:firstLine="698"/>
        <w:jc w:val="right"/>
      </w:pPr>
      <w:r>
        <w:t>По</w:t>
      </w:r>
      <w:r>
        <w:t>дпись руководителя энергосбытовой организации</w:t>
      </w:r>
    </w:p>
    <w:p w:rsidR="00000000" w:rsidRDefault="00D57AA5"/>
    <w:p w:rsidR="00000000" w:rsidRDefault="00D57AA5">
      <w:pPr>
        <w:pStyle w:val="1"/>
      </w:pPr>
      <w:bookmarkStart w:id="34" w:name="sub_2100"/>
      <w:r>
        <w:t>Указания по заполнению:</w:t>
      </w:r>
    </w:p>
    <w:bookmarkEnd w:id="34"/>
    <w:p w:rsidR="00000000" w:rsidRDefault="00D57AA5"/>
    <w:p w:rsidR="00000000" w:rsidRDefault="00D57AA5">
      <w:bookmarkStart w:id="35" w:name="sub_2101"/>
      <w:r>
        <w:t>1. В список включаются все расчетные электросчетчики, используемые для расчетов с юридическими лицами за потребленную или выработанную электрическую энергию нез</w:t>
      </w:r>
      <w:r>
        <w:t>ависимо от их типа (активные и реактивные, однофазные и трехфазные, однотарифные и многотарифные и т.д. и т.п.).</w:t>
      </w:r>
    </w:p>
    <w:p w:rsidR="00000000" w:rsidRDefault="00D57AA5">
      <w:bookmarkStart w:id="36" w:name="sub_2102"/>
      <w:bookmarkEnd w:id="35"/>
      <w:r>
        <w:t>2. Наличие в схемах включения многотарифных электросчетчиков управляющих электрических часов (индивидуальных или групповых) или</w:t>
      </w:r>
      <w:r>
        <w:t xml:space="preserve"> других внешних устройств, управляющих тарифными механизмами счетчиков отмечается в графе "Эл. часов".</w:t>
      </w:r>
    </w:p>
    <w:p w:rsidR="00000000" w:rsidRDefault="00D57AA5">
      <w:bookmarkStart w:id="37" w:name="sub_2103"/>
      <w:bookmarkEnd w:id="36"/>
      <w:r>
        <w:t>3. Наличие промежуточных клемм как в первичных цепях ТТ и ТН, так и во вторичных цепях расчетных АСКУЭ отмечается в графе "Пром.клемм".</w:t>
      </w:r>
    </w:p>
    <w:p w:rsidR="00000000" w:rsidRDefault="00D57AA5">
      <w:bookmarkStart w:id="38" w:name="sub_2104"/>
      <w:bookmarkEnd w:id="37"/>
      <w:r>
        <w:t>4. Включение расчетного счетчика в расчетную АСКУЭ любого типа (сумматоры "Ганц", автоматизированные системы ИИСЭ-3, Ток, Энергия и т.д. и т.п.) отмечается в графе "АСКУЭ".</w:t>
      </w:r>
    </w:p>
    <w:bookmarkEnd w:id="38"/>
    <w:p w:rsidR="00000000" w:rsidRDefault="00D57AA5"/>
    <w:p w:rsidR="00000000" w:rsidRDefault="00D57AA5">
      <w:pPr>
        <w:pStyle w:val="a6"/>
        <w:rPr>
          <w:color w:val="000000"/>
          <w:sz w:val="16"/>
          <w:szCs w:val="16"/>
        </w:rPr>
      </w:pPr>
      <w:bookmarkStart w:id="39" w:name="sub_3000"/>
      <w:r>
        <w:rPr>
          <w:color w:val="000000"/>
          <w:sz w:val="16"/>
          <w:szCs w:val="16"/>
        </w:rPr>
        <w:t>ГАРАНТ:</w:t>
      </w:r>
    </w:p>
    <w:bookmarkEnd w:id="39"/>
    <w:p w:rsidR="00000000" w:rsidRDefault="00D57AA5">
      <w:pPr>
        <w:pStyle w:val="a6"/>
      </w:pPr>
      <w:r>
        <w:t>См. данную форму в редакторе MS-Wor</w:t>
      </w:r>
      <w:r>
        <w:t>d</w:t>
      </w:r>
    </w:p>
    <w:p w:rsidR="00000000" w:rsidRDefault="00D57AA5">
      <w:pPr>
        <w:ind w:firstLine="0"/>
        <w:jc w:val="right"/>
      </w:pPr>
      <w:r>
        <w:rPr>
          <w:rStyle w:val="a3"/>
        </w:rPr>
        <w:t>Приложение N 3</w:t>
      </w:r>
    </w:p>
    <w:p w:rsidR="00000000" w:rsidRDefault="00D57AA5">
      <w:pPr>
        <w:ind w:firstLine="0"/>
        <w:jc w:val="right"/>
      </w:pPr>
      <w:r>
        <w:rPr>
          <w:rStyle w:val="a3"/>
        </w:rPr>
        <w:t xml:space="preserve">к </w:t>
      </w:r>
      <w:hyperlink w:anchor="sub_0" w:history="1">
        <w:r>
          <w:rPr>
            <w:rStyle w:val="a4"/>
          </w:rPr>
          <w:t>Положению</w:t>
        </w:r>
      </w:hyperlink>
      <w:r>
        <w:rPr>
          <w:rStyle w:val="a3"/>
        </w:rPr>
        <w:t xml:space="preserve"> о порядке проведения</w:t>
      </w:r>
    </w:p>
    <w:p w:rsidR="00000000" w:rsidRDefault="00D57AA5">
      <w:pPr>
        <w:ind w:firstLine="0"/>
        <w:jc w:val="right"/>
      </w:pPr>
      <w:r>
        <w:rPr>
          <w:rStyle w:val="a3"/>
        </w:rPr>
        <w:t>ревизии и маркирования специальными</w:t>
      </w:r>
    </w:p>
    <w:p w:rsidR="00000000" w:rsidRDefault="00D57AA5">
      <w:pPr>
        <w:ind w:firstLine="0"/>
        <w:jc w:val="right"/>
      </w:pPr>
      <w:r>
        <w:rPr>
          <w:rStyle w:val="a3"/>
        </w:rPr>
        <w:t>знаками визуального контроля средств</w:t>
      </w:r>
    </w:p>
    <w:p w:rsidR="00000000" w:rsidRDefault="00D57AA5">
      <w:pPr>
        <w:ind w:firstLine="0"/>
        <w:jc w:val="right"/>
      </w:pPr>
      <w:r>
        <w:rPr>
          <w:rStyle w:val="a3"/>
        </w:rPr>
        <w:t>учета электрической энергии</w:t>
      </w:r>
    </w:p>
    <w:p w:rsidR="00000000" w:rsidRDefault="00D57AA5"/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проведенной ревизии                      Управление Госэнергонадзора</w:t>
      </w:r>
    </w:p>
    <w:p w:rsidR="00000000" w:rsidRDefault="00D57AA5">
      <w:pPr>
        <w:ind w:firstLine="698"/>
        <w:jc w:val="right"/>
      </w:pPr>
      <w:r>
        <w:t>в субъекте Российской Федерации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"___" ___________ 199 ___ г.               ______________________________</w:t>
      </w:r>
    </w:p>
    <w:p w:rsidR="00000000" w:rsidRDefault="00D57AA5">
      <w:pPr>
        <w:ind w:firstLine="698"/>
        <w:jc w:val="right"/>
      </w:pPr>
      <w:r>
        <w:t>Территориальный орган</w:t>
      </w:r>
    </w:p>
    <w:p w:rsidR="00000000" w:rsidRDefault="00D57AA5">
      <w:pPr>
        <w:ind w:firstLine="698"/>
        <w:jc w:val="right"/>
      </w:pPr>
      <w:r>
        <w:lastRenderedPageBreak/>
        <w:t>Госстандарта России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______________________________</w:t>
      </w:r>
    </w:p>
    <w:p w:rsidR="00000000" w:rsidRDefault="00D57AA5">
      <w:pPr>
        <w:ind w:firstLine="698"/>
        <w:jc w:val="right"/>
      </w:pPr>
      <w:r>
        <w:t>Энергосбытовая организация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______________________________</w:t>
      </w:r>
    </w:p>
    <w:p w:rsidR="00000000" w:rsidRDefault="00D57AA5"/>
    <w:p w:rsidR="00000000" w:rsidRDefault="00D57AA5">
      <w:pPr>
        <w:pStyle w:val="1"/>
      </w:pPr>
      <w:r>
        <w:t>Акт</w:t>
      </w:r>
      <w:r>
        <w:br/>
        <w:t xml:space="preserve"> о проведении ревизии и маркировании средств учета электрической энергии, используемых для расчетов за потребляемую электроэнергию с юридическим лицом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________________________________________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(организация-потребитель электрической энергии)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(юридический адрес)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Комиссия в составе: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</w:t>
      </w:r>
      <w:r>
        <w:rPr>
          <w:sz w:val="22"/>
          <w:szCs w:val="22"/>
        </w:rPr>
        <w:t>ля Госэнергонадзора/Госстандарта ______________ (председатель)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и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членов комиссии: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представителя энергосбытовой организации ______________________________ ,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представителя проверяемой организации ___________________________________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произвела ревизию  и   мар</w:t>
      </w:r>
      <w:r>
        <w:rPr>
          <w:sz w:val="22"/>
          <w:szCs w:val="22"/>
        </w:rPr>
        <w:t>кирование   средствами   визуального   контроля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нижеперечисленные средства учета электрической энергии.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Электросчетчик типа _____________________. Заводской N _________________,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(инд./электронный)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акт./реакт. энергии, ____ - фазный, _</w:t>
      </w:r>
      <w:r>
        <w:rPr>
          <w:sz w:val="22"/>
          <w:szCs w:val="22"/>
        </w:rPr>
        <w:t>___ - элементный, ______ - тарифный,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кл.точности ______.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Номинальный ток _______ А. Максимальный ток _____ А. Напряжение ______ В.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Счетчик включен через: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трансформаторы тока типа ____, кол-во ___, коэф. тр-ции ____, кл.точности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_____,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Трансформатор напряже</w:t>
      </w:r>
      <w:r>
        <w:rPr>
          <w:sz w:val="22"/>
          <w:szCs w:val="22"/>
        </w:rPr>
        <w:t>ния типа ___, коэф. тр-ции ____, кл. точности ______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В цепях включения имеются ____ шт. промежуточных клеммных соединений.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Электросчетчик подключен к автоматизированной системе учета типа _______,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через импульсный/цифровой  выход.  В  цепях  имеются  ____ </w:t>
      </w:r>
      <w:r>
        <w:rPr>
          <w:sz w:val="22"/>
          <w:szCs w:val="22"/>
        </w:rPr>
        <w:t xml:space="preserve"> промежуточные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клеммы.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Тарифные механизмы   счетчика   управляются   встроенными  часами/внешним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устройством.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Счетчик установлен в отапливаемом (неотапливаемом) помещении ___________.</w:t>
      </w:r>
    </w:p>
    <w:p w:rsidR="00000000" w:rsidRDefault="00D57AA5"/>
    <w:p w:rsidR="00000000" w:rsidRDefault="00D57AA5">
      <w:r>
        <w:rPr>
          <w:rStyle w:val="a3"/>
        </w:rPr>
        <w:t>В ходе ревизии проверено и установлено:</w:t>
      </w:r>
    </w:p>
    <w:p w:rsidR="00000000" w:rsidRDefault="00D57AA5"/>
    <w:p w:rsidR="00000000" w:rsidRDefault="00D57AA5">
      <w:bookmarkStart w:id="40" w:name="sub_3001"/>
      <w:r>
        <w:t>1. Приборы учета устан</w:t>
      </w:r>
      <w:r>
        <w:t>овлены на границе (не на границе) сетей потребителя и энергоснабжающей организации.</w:t>
      </w:r>
    </w:p>
    <w:bookmarkEnd w:id="40"/>
    <w:p w:rsidR="00000000" w:rsidRDefault="00D57AA5">
      <w:r>
        <w:t>Потери электроэнергии на участке от границы сетей потребителя и энергоснабжающей организации до места установки приборов учета учитываются правильно (неправильно).</w:t>
      </w:r>
    </w:p>
    <w:p w:rsidR="00000000" w:rsidRDefault="00D57AA5">
      <w:bookmarkStart w:id="41" w:name="sub_3002"/>
      <w:r>
        <w:t>2. Классы точности счетчика, измерительных трансформаторов тока (ТТ) и напряжения (ТН) требованиям действующих Правил устройства электроустановок (</w:t>
      </w:r>
      <w:hyperlink r:id="rId7" w:history="1">
        <w:r>
          <w:rPr>
            <w:rStyle w:val="a4"/>
          </w:rPr>
          <w:t>ПУЭ</w:t>
        </w:r>
      </w:hyperlink>
      <w:r>
        <w:t>) соответствуют (не соответствуют).</w:t>
      </w:r>
    </w:p>
    <w:bookmarkEnd w:id="41"/>
    <w:p w:rsidR="00000000" w:rsidRDefault="00D57AA5"/>
    <w:p w:rsidR="00000000" w:rsidRDefault="00D57AA5">
      <w:pPr>
        <w:pStyle w:val="a8"/>
        <w:rPr>
          <w:sz w:val="22"/>
          <w:szCs w:val="22"/>
        </w:rPr>
      </w:pPr>
      <w:bookmarkStart w:id="42" w:name="sub_3003"/>
      <w:r>
        <w:rPr>
          <w:sz w:val="22"/>
          <w:szCs w:val="22"/>
        </w:rPr>
        <w:t xml:space="preserve">     3.   </w:t>
      </w:r>
      <w:r>
        <w:rPr>
          <w:sz w:val="22"/>
          <w:szCs w:val="22"/>
        </w:rPr>
        <w:t xml:space="preserve"> Даты    установки    пломб    Госповерителя    на     счетчике</w:t>
      </w:r>
    </w:p>
    <w:bookmarkEnd w:id="42"/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______________________,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дата (дата отсутствует) ТТ __________, ТН _______________.</w:t>
      </w:r>
    </w:p>
    <w:p w:rsidR="00000000" w:rsidRDefault="00D57AA5"/>
    <w:p w:rsidR="00000000" w:rsidRDefault="00D57AA5">
      <w:r>
        <w:t xml:space="preserve">Пломбы энергосбытовой организации на счетчике есть (нет), на ТТ есть (нет), на ТН есть </w:t>
      </w:r>
      <w:r>
        <w:lastRenderedPageBreak/>
        <w:t>(нет), н</w:t>
      </w:r>
      <w:r>
        <w:t>а испытательной коробке есть (нет), на промежуточных клеммах есть (нет).</w:t>
      </w:r>
    </w:p>
    <w:p w:rsidR="00000000" w:rsidRDefault="00D57AA5"/>
    <w:p w:rsidR="00000000" w:rsidRDefault="00D57AA5">
      <w:bookmarkStart w:id="43" w:name="sub_3004"/>
      <w:r>
        <w:t>4. Величины межповерочных интервалов (МПИ) электросчетчика (___ лет) (не) соблюдаются, ТТ (___ лет) - (не) соблюдаются и ТН (___ лет) - (не) соблюдаются.</w:t>
      </w:r>
    </w:p>
    <w:p w:rsidR="00000000" w:rsidRDefault="00D57AA5">
      <w:bookmarkStart w:id="44" w:name="sub_3005"/>
      <w:bookmarkEnd w:id="43"/>
      <w:r>
        <w:t>5. К</w:t>
      </w:r>
      <w:r>
        <w:t>оэффициент трансформации ТТ реальным режимам загрузки проверяемого присоединения - (не) соответствует.</w:t>
      </w:r>
    </w:p>
    <w:p w:rsidR="00000000" w:rsidRDefault="00D57AA5">
      <w:bookmarkStart w:id="45" w:name="sub_3006"/>
      <w:bookmarkEnd w:id="44"/>
      <w:r>
        <w:t>6. ТН, к которым подсоединен счетчик, (не) перегружен.</w:t>
      </w:r>
    </w:p>
    <w:p w:rsidR="00000000" w:rsidRDefault="00D57AA5">
      <w:bookmarkStart w:id="46" w:name="sub_3007"/>
      <w:bookmarkEnd w:id="45"/>
      <w:r>
        <w:t xml:space="preserve">7. Величина потерь напряжения в соединительных проводах от ТН до расчетных электросчетчиков составляет ____ % и (не) соответствует требованиям действующих </w:t>
      </w:r>
      <w:hyperlink r:id="rId8" w:history="1">
        <w:r>
          <w:rPr>
            <w:rStyle w:val="a4"/>
          </w:rPr>
          <w:t>ПУЭ</w:t>
        </w:r>
      </w:hyperlink>
      <w:r>
        <w:t>;</w:t>
      </w:r>
    </w:p>
    <w:p w:rsidR="00000000" w:rsidRDefault="00D57AA5">
      <w:bookmarkStart w:id="47" w:name="sub_3008"/>
      <w:bookmarkEnd w:id="46"/>
      <w:r>
        <w:t xml:space="preserve">8. Температурный режим эксплуатации счетчика </w:t>
      </w:r>
      <w:r>
        <w:t>требованиям технического паспорта (не) соответствует.</w:t>
      </w:r>
    </w:p>
    <w:bookmarkEnd w:id="47"/>
    <w:p w:rsidR="00000000" w:rsidRDefault="00D57AA5">
      <w:r>
        <w:t>Утепляющий кожух на счетчик (при установке в неотапливаемых помещениях) (не) установлен и (не) исправен.</w:t>
      </w:r>
    </w:p>
    <w:p w:rsidR="00000000" w:rsidRDefault="00D57AA5">
      <w:bookmarkStart w:id="48" w:name="sub_3009"/>
      <w:r>
        <w:t>9. Не защищенных от несанкционированного вмешательства промежуточных клеммных сое</w:t>
      </w:r>
      <w:r>
        <w:t>динений в цепях учета, цепях АСКУЭ, цепях устройств управления тарифными механизмами, приводов ТН, подлежащих маркированию знаками - _____ шт.</w:t>
      </w:r>
    </w:p>
    <w:p w:rsidR="00000000" w:rsidRDefault="00D57AA5">
      <w:bookmarkStart w:id="49" w:name="sub_3010"/>
      <w:bookmarkEnd w:id="48"/>
      <w:r>
        <w:t>10. Схема включения расчетных приборов учета собрана (не) правильно (подлежит дополнительной инст</w:t>
      </w:r>
      <w:r>
        <w:t>рументальной проверке).</w:t>
      </w:r>
    </w:p>
    <w:bookmarkEnd w:id="49"/>
    <w:p w:rsidR="00000000" w:rsidRDefault="00D57AA5"/>
    <w:p w:rsidR="00000000" w:rsidRDefault="00D57AA5">
      <w:r>
        <w:t>Средства учета маркированы ___ знаками визуального контроля.</w:t>
      </w:r>
    </w:p>
    <w:p w:rsidR="00000000" w:rsidRDefault="00D57AA5">
      <w:r>
        <w:t>Места установки и NN Знаков: на счетчике N ______, на клеммнике ТТ N _______, на клеммнике ТН N _____, на промежуточных клеммниках в цепях учета, цепях АСКУЭ, цеп</w:t>
      </w:r>
      <w:r>
        <w:t>ях устройств управления тарифными механизмами NN _____________________________________ .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Недостатки, выявленные в ходе ревизии по пунктам 1, 2, 3, 4,  5,  6,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(нужное обвести)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7, 8, 9, 10 подлежат у</w:t>
      </w:r>
      <w:r>
        <w:rPr>
          <w:sz w:val="22"/>
          <w:szCs w:val="22"/>
        </w:rPr>
        <w:t>странению в срок до _______________ .</w:t>
      </w:r>
    </w:p>
    <w:p w:rsidR="00000000" w:rsidRDefault="00D57AA5"/>
    <w:p w:rsidR="00000000" w:rsidRDefault="00D57AA5">
      <w:pPr>
        <w:pStyle w:val="a9"/>
      </w:pPr>
      <w:r>
        <w:t>Председатель комиссии: подпись (должность, фамилия, И.О.)</w:t>
      </w:r>
    </w:p>
    <w:p w:rsidR="00000000" w:rsidRDefault="00D57AA5">
      <w:pPr>
        <w:pStyle w:val="a9"/>
      </w:pPr>
      <w:r>
        <w:t>Члены комиссии: подпись (должность, фамилия, И.О.)</w:t>
      </w:r>
    </w:p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подпись (должность, фамилия, И.О.)</w:t>
      </w:r>
    </w:p>
    <w:p w:rsidR="00000000" w:rsidRDefault="00D57AA5"/>
    <w:p w:rsidR="00000000" w:rsidRDefault="00D57AA5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─────────────────</w:t>
      </w:r>
    </w:p>
    <w:p w:rsidR="00000000" w:rsidRDefault="00D57AA5">
      <w:bookmarkStart w:id="50" w:name="sub_1111"/>
      <w:r>
        <w:t>*1 Собрание законодательства Российской Федерации 1998, N 1, ст.130</w:t>
      </w:r>
    </w:p>
    <w:p w:rsidR="00000000" w:rsidRDefault="00D57AA5">
      <w:bookmarkStart w:id="51" w:name="sub_1112"/>
      <w:bookmarkEnd w:id="50"/>
      <w:r>
        <w:t xml:space="preserve">*2 </w:t>
      </w:r>
      <w:hyperlink r:id="rId9" w:history="1">
        <w:r>
          <w:rPr>
            <w:rStyle w:val="a4"/>
          </w:rPr>
          <w:t>Правила</w:t>
        </w:r>
      </w:hyperlink>
      <w:r>
        <w:t xml:space="preserve"> учета электрической энергии, утвержденные Минтопэнерго России 19.09.96 г. и Минстроем России 26.09.</w:t>
      </w:r>
      <w:r>
        <w:t>96 г. Зарегистрированы Минюстом России 24.10.96 г., регистрационный N 1182. "Российские вести" от 14.11.96 г. N 215.</w:t>
      </w:r>
    </w:p>
    <w:p w:rsidR="00000000" w:rsidRDefault="00D57AA5">
      <w:bookmarkStart w:id="52" w:name="sub_1113"/>
      <w:bookmarkEnd w:id="51"/>
      <w:r>
        <w:t xml:space="preserve">*3 </w:t>
      </w:r>
      <w:hyperlink r:id="rId10" w:history="1">
        <w:r>
          <w:rPr>
            <w:rStyle w:val="a4"/>
          </w:rPr>
          <w:t>Пункт 2</w:t>
        </w:r>
      </w:hyperlink>
      <w:r>
        <w:t xml:space="preserve"> постановления Правительства Российской Федерации от 27 декабря 1997 г. N 1619.</w:t>
      </w:r>
    </w:p>
    <w:p w:rsidR="00000000" w:rsidRDefault="00D57AA5">
      <w:bookmarkStart w:id="53" w:name="sub_2111"/>
      <w:bookmarkEnd w:id="52"/>
      <w:r>
        <w:t>*4 В - открытый воздух; П - помещение.</w:t>
      </w:r>
    </w:p>
    <w:bookmarkEnd w:id="53"/>
    <w:p w:rsidR="00D57AA5" w:rsidRDefault="00D57AA5"/>
    <w:sectPr w:rsidR="00D57AA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92"/>
    <w:rsid w:val="00454F92"/>
    <w:rsid w:val="00D5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81AC15-9D70-4981-85F2-E13BB3DF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82309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82309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823095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5721.0" TargetMode="External"/><Relationship Id="rId10" Type="http://schemas.openxmlformats.org/officeDocument/2006/relationships/hyperlink" Target="garantF1://75721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707.1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Сабиров Радиф Мунавирович</cp:lastModifiedBy>
  <cp:revision>2</cp:revision>
  <dcterms:created xsi:type="dcterms:W3CDTF">2019-10-24T11:48:00Z</dcterms:created>
  <dcterms:modified xsi:type="dcterms:W3CDTF">2019-10-24T11:48:00Z</dcterms:modified>
</cp:coreProperties>
</file>